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  <w:t xml:space="preserve">Пояснительная записка по ИТ</w:t>
      </w:r>
      <w:r>
        <w:rPr>
          <w:b/>
          <w:bCs/>
          <w:caps/>
          <w:sz w:val="28"/>
          <w:szCs w:val="28"/>
        </w:rPr>
      </w:r>
    </w:p>
    <w:p>
      <w:pPr>
        <w:ind w:left="283" w:right="283"/>
        <w:jc w:val="center"/>
        <w:spacing w:before="283"/>
        <w:rPr>
          <w:b/>
          <w:bCs/>
        </w:rPr>
      </w:pPr>
      <w:r>
        <w:rPr>
          <w:b/>
          <w:bCs/>
        </w:rPr>
        <w:t xml:space="preserve">Развитие платформы "Клиент-Онлайн" в 2025 году</w:t>
      </w:r>
      <w:r>
        <w:rPr>
          <w:b/>
          <w:bCs/>
        </w:rPr>
      </w:r>
    </w:p>
    <w:p>
      <w:pPr>
        <w:jc w:val="center"/>
        <w:spacing w:before="113"/>
        <w:rPr>
          <w:b/>
          <w:bCs/>
        </w:rPr>
      </w:pPr>
      <w:r>
        <w:rPr>
          <w:b/>
          <w:bCs/>
        </w:rPr>
        <w:t xml:space="preserve">Код проекта - 15.01.10020</w:t>
      </w:r>
      <w:r>
        <w:rPr>
          <w:b/>
          <w:bCs/>
        </w:rPr>
      </w:r>
    </w:p>
    <w:p>
      <w:pPr>
        <w:pStyle w:val="12"/>
        <w:numPr>
          <w:ilvl w:val="0"/>
          <w:numId w:val="1"/>
        </w:numPr>
      </w:pPr>
      <w:r>
        <w:t xml:space="preserve">ОПИСАНИЕ ИПКВ ИТ</w:t>
      </w:r>
      <w:r/>
    </w:p>
    <w:p>
      <w:pPr>
        <w:pStyle w:val="14"/>
        <w:numPr>
          <w:ilvl w:val="1"/>
          <w:numId w:val="1"/>
        </w:numPr>
      </w:pPr>
      <w:r>
        <w:t xml:space="preserve">Объект вложения средств</w:t>
      </w:r>
      <w:r/>
    </w:p>
    <w:p>
      <w:r>
        <w:t xml:space="preserve">АО "Петербургская сбытовая компания"</w:t>
      </w:r>
      <w:r/>
    </w:p>
    <w:p>
      <w:pPr>
        <w:spacing w:before="283" w:after="283"/>
        <w:rPr>
          <w:b/>
          <w:bCs/>
        </w:rPr>
      </w:pPr>
      <w:r>
        <w:rPr>
          <w:b/>
          <w:bCs/>
        </w:rPr>
        <w:t xml:space="preserve">Объект ОС:</w:t>
      </w:r>
      <w:r>
        <w:rPr>
          <w:b/>
          <w:bCs/>
        </w:rPr>
      </w:r>
    </w:p>
    <w:p>
      <w:r>
        <w:rPr>
          <w:rFonts w:hint="default" w:ascii="Times New Roman" w:hAnsi="Times New Roman" w:eastAsia="Times New Roman" w:cs="Times New Roman"/>
          <w:sz w:val="24"/>
        </w:rPr>
        <w:t xml:space="preserve">АО «Петербургская сбытовая компания». </w:t>
      </w:r>
      <w:r>
        <w:t xml:space="preserve">Существующий НМА: Информационная система (ИС) «Платформа «Клиент Онлайн»» (далее - Система). </w:t>
      </w:r>
      <w:r/>
    </w:p>
    <w:p>
      <w:pPr>
        <w:pStyle w:val="14"/>
        <w:numPr>
          <w:ilvl w:val="1"/>
          <w:numId w:val="1"/>
        </w:numPr>
      </w:pPr>
      <w:r>
        <w:t xml:space="preserve">Предпосылки / необходимость реализации ИПКВ ИТ</w:t>
      </w:r>
      <w:r/>
    </w:p>
    <w:p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После внедрения платформы «Клиент-Онлайн» был осуществлен переход цифровых каналов энергосбытовых компаний и ЕИРЦ на единую Платформу и под единое управление в дочернее общество ООО «Интер РАО-Онлайн», а также была осуществлена интеграция Платформы с информационными системами компаний Группы. В связи с переходом исключительных прав на единую Платформу к АО «Мосэнергосбыт» в соответствии с заключенным договором от 20.11.2023 № Д/МЭС/137/23341 на приобретение исключительных прав на Платформу «Клиент-Онлайн» у ООО «Интер РАО-Онлайн», дальнейшее развитие Платформы ведет АО «Мосэнергосбыт».</w:t>
      </w:r>
      <w:r/>
    </w:p>
    <w:p>
      <w:pPr>
        <w:rPr>
          <w:color w:val="333333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После внедрения платформы «Клиент-Онлайн» требуется ее развитие для поддержания работоспособности платформы.</w:t>
      </w:r>
      <w:r>
        <w:rPr>
          <w:color w:val="333333"/>
          <w:sz w:val="26"/>
          <w:szCs w:val="26"/>
        </w:rPr>
      </w:r>
    </w:p>
    <w:p>
      <w:pPr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p>
      <w:pPr>
        <w:pStyle w:val="14"/>
        <w:numPr>
          <w:ilvl w:val="1"/>
          <w:numId w:val="1"/>
        </w:numPr>
      </w:pPr>
      <w:r>
        <w:t xml:space="preserve">Цель ИПКВ ИТ</w:t>
      </w:r>
      <w:r/>
    </w:p>
    <w:p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Целью проекта является развитие платформы «Клиент-Онлайн», внедрение нововведений в платформу и выполнение полного и своевременного объема работ в рамках договора между Заказчиком и Исполнителем.</w:t>
      </w:r>
      <w:r/>
    </w:p>
    <w:p>
      <w:pPr>
        <w:rPr>
          <w:color w:val="333333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Развитие Платформы на 2025 включает в себя расширение функциональных возможностей в соответствии с требованиями компании, а также изменениями федерального и регионального законодательства.</w:t>
      </w:r>
      <w:r>
        <w:rPr>
          <w:color w:val="333333"/>
          <w:sz w:val="26"/>
          <w:szCs w:val="26"/>
        </w:rPr>
      </w:r>
    </w:p>
    <w:p>
      <w:pPr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p>
      <w:pPr>
        <w:pStyle w:val="14"/>
        <w:numPr>
          <w:ilvl w:val="1"/>
          <w:numId w:val="1"/>
        </w:numPr>
      </w:pPr>
      <w:r>
        <w:t xml:space="preserve">Технические решения ИПКВ ИТ</w:t>
      </w:r>
      <w:r/>
    </w:p>
    <w:p>
      <w:r>
        <w:t xml:space="preserve">В результате исполнения договора будет выполнено развитие мобильных приложений и сайта, оптимизация работы приложений и сайта, и, следовательно, добавление нового функционала и поддержка уже существующего.</w:t>
      </w:r>
      <w:r/>
    </w:p>
    <w:p>
      <w:r>
        <w:t xml:space="preserve">Перечень и приоритетность работ в рамках текущего развития централизованных систем формируется Центром методологии энергосбытовой деятельности ЦРБ, с учетом запросов на изменения, поступающих от компаний Группы. Оценка совокупных объемов трудозатрат и их распределение по ДО также осуществляются централизованно. Конкретные виды работ в рамках договора определяются и согласовываются на основании  ЗНИ, функциональных спецификаций, программ и методик испытаний.</w:t>
      </w:r>
      <w:r/>
    </w:p>
    <w:p>
      <w:pPr>
        <w:pStyle w:val="14"/>
        <w:numPr>
          <w:ilvl w:val="1"/>
          <w:numId w:val="1"/>
        </w:numPr>
      </w:pPr>
      <w:r>
        <w:t xml:space="preserve">Дополнительная информация</w:t>
      </w:r>
      <w:r/>
    </w:p>
    <w:p>
      <w:r>
        <w:t xml:space="preserve">Данный ИПКВ включен в стратегические документы компании, связан с проектами Личный кабинет и мобильное приложение бытового потребителя, Личный кабинет и мобильное для юридических лиц и собственников не жилых помещений, официальный сайт и сайт ДПС АО «Петербургская сбытовая компания».</w:t>
      </w:r>
      <w:r/>
    </w:p>
    <w:p>
      <w:pPr>
        <w:pStyle w:val="12"/>
        <w:numPr>
          <w:ilvl w:val="0"/>
          <w:numId w:val="1"/>
        </w:numPr>
      </w:pPr>
      <w:r>
        <w:t xml:space="preserve">ОБЪЕМ, СРОКИ И ЗАТРАТЫ ИПКВ</w:t>
      </w:r>
      <w:r/>
    </w:p>
    <w:p>
      <w:pPr>
        <w:pStyle w:val="632"/>
      </w:pPr>
      <w:r>
        <w:t xml:space="preserve">Начало выполнения работ - 1 квартал 2025 г.</w:t>
      </w:r>
      <w:r/>
    </w:p>
    <w:p>
      <w:pPr>
        <w:pStyle w:val="632"/>
        <w:spacing w:before="57"/>
      </w:pPr>
      <w:r>
        <w:t xml:space="preserve">Завершение работ - 4 квартал 2025 г.</w:t>
      </w:r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1.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Освоение: тыс. единиц национальной валюты без НДС</w:t>
      </w:r>
      <w:r>
        <w:rPr>
          <w:sz w:val="22"/>
          <w:szCs w:val="22"/>
        </w:rPr>
      </w:r>
    </w:p>
    <w:tbl>
      <w:tblPr>
        <w:tblStyle w:val="756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>
        <w:trPr>
          <w:tblHeader/>
        </w:trPr>
        <w:tc>
          <w:tcPr>
            <w:shd w:val="clear" w:color="8c8c8c" w:fill="8c8c8c"/>
            <w:tcW w:w="454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№</w:t>
            </w:r>
            <w:r/>
          </w:p>
        </w:tc>
        <w:tc>
          <w:tcPr>
            <w:shd w:val="clear" w:color="8c8c8c" w:fill="8c8c8c"/>
            <w:tcW w:w="1750" w:type="pct"/>
            <w:textDirection w:val="lrTb"/>
            <w:noWrap w:val="false"/>
          </w:tcPr>
          <w:p>
            <w:pPr>
              <w:pStyle w:val="757"/>
            </w:pPr>
            <w:r/>
            <w:r>
              <w:t xml:space="preserve">Статья затрат</w:t>
            </w:r>
            <w:r/>
          </w:p>
        </w:tc>
        <w:tc>
          <w:tcPr>
            <w:shd w:val="clear" w:color="8c8c8c" w:fill="8c8c8c"/>
            <w:tcW w:w="992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Кол-во, шт.</w:t>
            </w:r>
            <w:r/>
          </w:p>
        </w:tc>
        <w:tc>
          <w:tcPr>
            <w:shd w:val="clear" w:color="8c8c8c" w:fill="8c8c8c"/>
            <w:tcW w:w="992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Цена за ед.</w:t>
            </w:r>
            <w:r/>
          </w:p>
        </w:tc>
        <w:tc>
          <w:tcPr>
            <w:shd w:val="clear" w:color="8c8c8c" w:fill="8c8c8c"/>
            <w:tcW w:w="1247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Стоимость</w:t>
            </w:r>
            <w:r/>
          </w:p>
        </w:tc>
        <w:tc>
          <w:tcPr>
            <w:shd w:val="clear" w:color="8c8c8c" w:fill="8c8c8c"/>
            <w:textDirection w:val="lrTb"/>
            <w:noWrap w:val="false"/>
          </w:tcPr>
          <w:p>
            <w:pPr>
              <w:pStyle w:val="757"/>
            </w:pPr>
            <w:r/>
            <w:r>
              <w:t xml:space="preserve">2025</w:t>
            </w:r>
            <w:r/>
          </w:p>
        </w:tc>
        <w:tc>
          <w:tcPr>
            <w:shd w:val="clear" w:color="8c8c8c" w:fill="8c8c8c"/>
            <w:tcW w:w="1191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Итого без НДС</w:t>
            </w:r>
            <w:r/>
          </w:p>
        </w:tc>
      </w:tr>
      <w:tr>
        <w:trPr/>
        <w:tc>
          <w:tcPr>
            <w:gridSpan w:val="7"/>
            <w:tcMar>
              <w:left w:w="85" w:type="dxa"/>
              <w:top w:w="57" w:type="dxa"/>
              <w:bottom w:w="57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</w:pPr>
            <w:r/>
            <w:r>
              <w:t xml:space="preserve">1. Затраты, относящиеся на инвестиционную деятельность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59"/>
            </w:pPr>
            <w:r/>
            <w:r>
              <w:t xml:space="preserve">1.1.</w:t>
            </w:r>
            <w:r/>
          </w:p>
        </w:tc>
        <w:tc>
          <w:tcPr>
            <w:tcW w:w="1750" w:type="pct"/>
            <w:vMerge w:val="restart"/>
            <w:textDirection w:val="lrTb"/>
            <w:noWrap w:val="false"/>
          </w:tcPr>
          <w:p>
            <w:pPr>
              <w:pStyle w:val="759"/>
            </w:pPr>
            <w:r/>
            <w:r>
              <w:t xml:space="preserve">Разработка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 </w:t>
            </w:r>
            <w:r/>
          </w:p>
        </w:tc>
        <w:tc>
          <w:tcPr>
            <w:tcW w:w="1247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 </w:t>
            </w:r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58"/>
            </w:pPr>
            <w:r/>
            <w:r>
              <w:t xml:space="preserve">15 085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58"/>
            </w:pPr>
            <w:r/>
            <w:r>
              <w:t xml:space="preserve">15 085</w:t>
            </w:r>
            <w:r/>
          </w:p>
        </w:tc>
      </w:tr>
      <w:tr>
        <w:trPr/>
        <w:tc>
          <w:tcPr>
            <w:gridSpan w:val="4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247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15 085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15 085</w:t>
            </w:r>
            <w:r>
              <w:rPr>
                <w:b/>
                <w:bCs/>
              </w:rPr>
            </w:r>
          </w:p>
        </w:tc>
      </w:tr>
      <w:tr>
        <w:trPr/>
        <w:tc>
          <w:tcPr>
            <w:gridSpan w:val="7"/>
            <w:tcMar>
              <w:left w:w="85" w:type="dxa"/>
              <w:top w:w="57" w:type="dxa"/>
              <w:bottom w:w="57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t xml:space="preserve">2. Затраты, относящиеся на операционную деятельность</w:t>
            </w:r>
            <w:r>
              <w:rPr>
                <w:b/>
                <w:bCs/>
              </w:rPr>
            </w:r>
          </w:p>
        </w:tc>
      </w:tr>
      <w:tr>
        <w:trPr/>
        <w:tc>
          <w:tcPr>
            <w:gridSpan w:val="4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247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c>
          <w:tcPr>
            <w:gridSpan w:val="4"/>
            <w:shd w:val="clear" w:color="8c8c8c" w:fill="8c8c8c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 ПО ПРОЕКТУ:</w:t>
            </w:r>
            <w:r>
              <w:rPr>
                <w:b/>
                <w:bCs/>
              </w:rPr>
            </w:r>
          </w:p>
        </w:tc>
        <w:tc>
          <w:tcPr>
            <w:shd w:val="clear" w:color="8c8c8c" w:fill="8c8c8c"/>
            <w:tcW w:w="1247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</w:r>
          </w:p>
        </w:tc>
        <w:tc>
          <w:tcPr>
            <w:shd w:val="clear" w:color="8c8c8c" w:fill="8c8c8c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15 085</w:t>
            </w:r>
            <w:r>
              <w:rPr>
                <w:b/>
                <w:bCs/>
              </w:rPr>
            </w:r>
          </w:p>
        </w:tc>
        <w:tc>
          <w:tcPr>
            <w:shd w:val="clear" w:color="8c8c8c" w:fill="8c8c8c"/>
            <w:tcW w:w="1191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15 085</w:t>
            </w:r>
            <w:r>
              <w:rPr>
                <w:b/>
                <w:bCs/>
              </w:rPr>
            </w:r>
          </w:p>
        </w:tc>
      </w:tr>
    </w:tbl>
    <w:p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2.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Финансирование: тыс. единиц национальной валюты с НДС</w:t>
      </w:r>
      <w:r>
        <w:rPr>
          <w:sz w:val="22"/>
          <w:szCs w:val="22"/>
        </w:rPr>
      </w:r>
    </w:p>
    <w:tbl>
      <w:tblPr>
        <w:tblStyle w:val="756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>
        <w:trPr>
          <w:tblHeader/>
        </w:trPr>
        <w:tc>
          <w:tcPr>
            <w:shd w:val="clear" w:color="8c8c8c" w:fill="8c8c8c"/>
            <w:tcW w:w="454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№</w:t>
            </w:r>
            <w:r/>
          </w:p>
        </w:tc>
        <w:tc>
          <w:tcPr>
            <w:shd w:val="clear" w:color="8c8c8c" w:fill="8c8c8c"/>
            <w:tcW w:w="1750" w:type="pct"/>
            <w:textDirection w:val="lrTb"/>
            <w:noWrap w:val="false"/>
          </w:tcPr>
          <w:p>
            <w:pPr>
              <w:pStyle w:val="757"/>
            </w:pPr>
            <w:r/>
            <w:r>
              <w:t xml:space="preserve">Статья затрат</w:t>
            </w:r>
            <w:r/>
          </w:p>
        </w:tc>
        <w:tc>
          <w:tcPr>
            <w:shd w:val="clear" w:color="8c8c8c" w:fill="8c8c8c"/>
            <w:tcW w:w="992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Кол-во, шт.</w:t>
            </w:r>
            <w:r/>
          </w:p>
        </w:tc>
        <w:tc>
          <w:tcPr>
            <w:shd w:val="clear" w:color="8c8c8c" w:fill="8c8c8c"/>
            <w:tcW w:w="992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Цена за ед.</w:t>
            </w:r>
            <w:r/>
          </w:p>
        </w:tc>
        <w:tc>
          <w:tcPr>
            <w:shd w:val="clear" w:color="8c8c8c" w:fill="8c8c8c"/>
            <w:tcW w:w="1247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Стоимость</w:t>
            </w:r>
            <w:r/>
          </w:p>
        </w:tc>
        <w:tc>
          <w:tcPr>
            <w:shd w:val="clear" w:color="8c8c8c" w:fill="8c8c8c"/>
            <w:textDirection w:val="lrTb"/>
            <w:noWrap w:val="false"/>
          </w:tcPr>
          <w:p>
            <w:pPr>
              <w:pStyle w:val="757"/>
            </w:pPr>
            <w:r/>
            <w:r>
              <w:t xml:space="preserve">2025</w:t>
            </w:r>
            <w:r/>
          </w:p>
        </w:tc>
        <w:tc>
          <w:tcPr>
            <w:shd w:val="clear" w:color="8c8c8c" w:fill="8c8c8c"/>
            <w:tcW w:w="1191" w:type="dxa"/>
            <w:textDirection w:val="lrTb"/>
            <w:noWrap w:val="false"/>
          </w:tcPr>
          <w:p>
            <w:pPr>
              <w:pStyle w:val="757"/>
            </w:pPr>
            <w:r/>
            <w:r>
              <w:t xml:space="preserve">Итого с НДС</w:t>
            </w:r>
            <w:r/>
          </w:p>
        </w:tc>
      </w:tr>
      <w:tr>
        <w:trPr/>
        <w:tc>
          <w:tcPr>
            <w:gridSpan w:val="7"/>
            <w:tcMar>
              <w:left w:w="85" w:type="dxa"/>
              <w:top w:w="57" w:type="dxa"/>
              <w:bottom w:w="57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</w:pPr>
            <w:r/>
            <w:r>
              <w:t xml:space="preserve">1. Затраты, относящиеся на инвестиционную деятельность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59"/>
            </w:pPr>
            <w:r/>
            <w:r>
              <w:t xml:space="preserve">1.1.</w:t>
            </w:r>
            <w:r/>
          </w:p>
        </w:tc>
        <w:tc>
          <w:tcPr>
            <w:tcW w:w="1750" w:type="pct"/>
            <w:vMerge w:val="restart"/>
            <w:textDirection w:val="lrTb"/>
            <w:noWrap w:val="false"/>
          </w:tcPr>
          <w:p>
            <w:pPr>
              <w:pStyle w:val="759"/>
            </w:pPr>
            <w:r/>
            <w:r>
              <w:t xml:space="preserve">Разработка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 </w:t>
            </w:r>
            <w:r/>
          </w:p>
        </w:tc>
        <w:tc>
          <w:tcPr>
            <w:tcW w:w="1247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 </w:t>
            </w:r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58"/>
            </w:pPr>
            <w:r/>
            <w:r>
              <w:t xml:space="preserve">18 101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58"/>
            </w:pPr>
            <w:r/>
            <w:r>
              <w:t xml:space="preserve">18 101</w:t>
            </w:r>
            <w:r/>
          </w:p>
        </w:tc>
      </w:tr>
      <w:tr>
        <w:trPr/>
        <w:tc>
          <w:tcPr>
            <w:gridSpan w:val="4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247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18 101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18 101</w:t>
            </w:r>
            <w:r>
              <w:rPr>
                <w:b/>
                <w:bCs/>
              </w:rPr>
            </w:r>
          </w:p>
        </w:tc>
      </w:tr>
      <w:tr>
        <w:trPr/>
        <w:tc>
          <w:tcPr>
            <w:gridSpan w:val="7"/>
            <w:tcMar>
              <w:left w:w="85" w:type="dxa"/>
              <w:top w:w="57" w:type="dxa"/>
              <w:bottom w:w="57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t xml:space="preserve">2. Затраты, относящиеся на операционную деятельность</w:t>
            </w:r>
            <w:r>
              <w:rPr>
                <w:b/>
                <w:bCs/>
              </w:rPr>
            </w:r>
          </w:p>
        </w:tc>
      </w:tr>
      <w:tr>
        <w:trPr/>
        <w:tc>
          <w:tcPr>
            <w:gridSpan w:val="4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247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c>
          <w:tcPr>
            <w:gridSpan w:val="4"/>
            <w:shd w:val="clear" w:color="8c8c8c" w:fill="8c8c8c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9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 ПО ПРОЕКТУ:</w:t>
            </w:r>
            <w:r>
              <w:rPr>
                <w:b/>
                <w:bCs/>
              </w:rPr>
            </w:r>
          </w:p>
        </w:tc>
        <w:tc>
          <w:tcPr>
            <w:shd w:val="clear" w:color="8c8c8c" w:fill="8c8c8c"/>
            <w:tcW w:w="1247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</w:r>
          </w:p>
        </w:tc>
        <w:tc>
          <w:tcPr>
            <w:shd w:val="clear" w:color="8c8c8c" w:fill="8c8c8c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18 101</w:t>
            </w:r>
            <w:r>
              <w:rPr>
                <w:b/>
                <w:bCs/>
              </w:rPr>
            </w:r>
          </w:p>
        </w:tc>
        <w:tc>
          <w:tcPr>
            <w:shd w:val="clear" w:color="8c8c8c" w:fill="8c8c8c"/>
            <w:tcW w:w="1191" w:type="dxa"/>
            <w:vMerge w:val="restart"/>
            <w:textDirection w:val="lrTb"/>
            <w:noWrap/>
          </w:tcPr>
          <w:p>
            <w:pPr>
              <w:pStyle w:val="758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18 101</w:t>
            </w:r>
            <w:r>
              <w:rPr>
                <w:b/>
                <w:bCs/>
              </w:rPr>
            </w:r>
          </w:p>
        </w:tc>
      </w:tr>
    </w:tbl>
    <w:p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3.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Ключевые контрольные точки</w:t>
      </w:r>
      <w:r>
        <w:rPr>
          <w:sz w:val="22"/>
          <w:szCs w:val="22"/>
        </w:rPr>
      </w:r>
    </w:p>
    <w:tbl>
      <w:tblPr>
        <w:tblStyle w:val="756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>
        <w:trPr/>
        <w:tc>
          <w:tcPr>
            <w:gridSpan w:val="3"/>
            <w:textDirection w:val="lrTb"/>
            <w:noWrap w:val="false"/>
          </w:tcPr>
          <w:p>
            <w:pPr>
              <w:pStyle w:val="757"/>
            </w:pPr>
            <w:r/>
            <w:r>
              <w:t xml:space="preserve">КЛЮЧЕВЫЕ КОНТРОЛЬНЫЕ ТОЧКИ</w:t>
            </w:r>
            <w:r/>
          </w:p>
        </w:tc>
      </w:tr>
      <w:tr>
        <w:trPr/>
        <w:tc>
          <w:tcPr>
            <w:textDirection w:val="lrTb"/>
            <w:noWrap w:val="false"/>
          </w:tcPr>
          <w:p>
            <w:pPr>
              <w:pStyle w:val="757"/>
            </w:pPr>
            <w:r/>
            <w:r>
              <w:t xml:space="preserve">Название контрольной точки</w:t>
            </w:r>
            <w:r/>
          </w:p>
        </w:tc>
        <w:tc>
          <w:tcPr>
            <w:textDirection w:val="lrTb"/>
            <w:noWrap w:val="false"/>
          </w:tcPr>
          <w:p>
            <w:pPr>
              <w:pStyle w:val="757"/>
            </w:pPr>
            <w:r/>
            <w:r>
              <w:t xml:space="preserve">Ответственный</w:t>
            </w:r>
            <w:r/>
          </w:p>
        </w:tc>
        <w:tc>
          <w:tcPr>
            <w:textDirection w:val="lrTb"/>
            <w:noWrap w:val="false"/>
          </w:tcPr>
          <w:p>
            <w:pPr>
              <w:pStyle w:val="757"/>
            </w:pPr>
            <w:r/>
            <w:r>
              <w:t xml:space="preserve">Плановая дата</w:t>
            </w:r>
            <w:r/>
          </w:p>
        </w:tc>
      </w:tr>
    </w:tbl>
    <w:p>
      <w:r/>
    </w:p>
    <w:p>
      <w:pPr>
        <w:pStyle w:val="12"/>
        <w:numPr>
          <w:ilvl w:val="0"/>
          <w:numId w:val="1"/>
        </w:numPr>
      </w:pPr>
      <w:r>
        <w:t xml:space="preserve">КОНТАКТНОЕ ЛИЦО</w:t>
      </w:r>
      <w:r/>
    </w:p>
    <w:p>
      <w:pPr>
        <w:pStyle w:val="632"/>
        <w:spacing w:before="283" w:after="113"/>
      </w:pPr>
      <w:r>
        <w:t xml:space="preserve"> - Куратор ИПКВ:   </w:t>
      </w:r>
      <w:r/>
    </w:p>
    <w:p>
      <w:pPr>
        <w:pStyle w:val="632"/>
        <w:spacing w:before="283" w:after="113"/>
      </w:pPr>
      <w:r>
        <w:t xml:space="preserve"> - Единое ответственное лицо ИПКВ:   </w:t>
      </w:r>
      <w:r/>
    </w:p>
    <w:p>
      <w:pPr>
        <w:pStyle w:val="632"/>
        <w:spacing w:before="283" w:after="113"/>
      </w:pPr>
      <w:r>
        <w:t xml:space="preserve"> - Заказчик ИПКВ:   </w:t>
      </w:r>
      <w:r/>
    </w:p>
    <w:p>
      <w:pPr>
        <w:pStyle w:val="632"/>
        <w:spacing w:before="283" w:after="113"/>
      </w:pPr>
      <w: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B0603020202020204"/>
  </w:font>
  <w:font w:name="Cambria">
    <w:panose1 w:val="02060603050605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</w:pPr>
    <w:fldSimple w:instr="PAGE \* MERGEFORMAT">
      <w:r>
        <w:t xml:space="preserve">1</w:t>
      </w:r>
    </w:fldSimple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 "/>
      <w:lvlJc w:val="left"/>
      <w:pPr>
        <w:ind w:left="0" w:firstLine="0"/>
      </w:pPr>
    </w:lvl>
    <w:lvl w:ilvl="1">
      <w:start w:val="1"/>
      <w:numFmt w:val="decimal"/>
      <w:isLgl w:val="false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ind w:left="142" w:firstLine="0"/>
      <w:keepLines/>
      <w:keepNext/>
      <w:spacing w:before="567" w:after="255" w:line="240" w:lineRule="auto"/>
      <w:outlineLvl w:val="0"/>
    </w:pPr>
    <w:rPr>
      <w:rFonts w:hint="default" w:ascii="Arial" w:hAnsi="Arial" w:eastAsia="Arial" w:cs="Arial"/>
      <w:b/>
      <w:sz w:val="28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ind w:left="142" w:firstLine="0"/>
      <w:keepLines/>
      <w:keepNext/>
      <w:spacing w:before="482" w:after="198" w:line="140" w:lineRule="auto"/>
      <w:outlineLvl w:val="1"/>
    </w:pPr>
    <w:rPr>
      <w:rFonts w:hint="default" w:ascii="Arial" w:hAnsi="Arial" w:eastAsia="Arial" w:cs="Arial"/>
      <w:b/>
      <w:sz w:val="2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ind w:firstLine="283"/>
      <w:spacing w:before="0" w:after="0" w:line="240" w:lineRule="auto"/>
    </w:pPr>
    <w:rPr>
      <w:rFonts w:hint="default" w:ascii="Arial" w:hAnsi="Arial" w:eastAsia="Arial" w:cs="Arial"/>
      <w:sz w:val="24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  <w:style w:type="paragraph" w:styleId="632">
    <w:name w:val="Normal paragraph"/>
    <w:basedOn w:val="598"/>
    <w:uiPriority w:val="1"/>
    <w:qFormat/>
    <w:pPr>
      <w:spacing w:before="170"/>
    </w:pPr>
  </w:style>
  <w:style w:type="table" w:styleId="756">
    <w:name w:val="Таблица 1"/>
    <w:uiPriority w:val="1"/>
    <w:qFormat/>
    <w:tblPr>
      <w:tblInd w:w="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tcMar>
        <w:left w:w="85" w:type="dxa"/>
        <w:top w:w="91" w:type="dxa"/>
        <w:right w:w="85" w:type="dxa"/>
        <w:bottom w:w="91" w:type="dxa"/>
      </w:tcMar>
      <w:vAlign w:val="center"/>
    </w:tcPr>
  </w:style>
  <w:style w:type="paragraph" w:styleId="757">
    <w:name w:val="Таблица 1. Заголовок"/>
    <w:uiPriority w:val="1"/>
    <w:qFormat/>
    <w:pPr>
      <w:ind w:left="0" w:right="0"/>
      <w:jc w:val="center"/>
      <w:spacing w:after="0" w:line="240" w:lineRule="auto"/>
    </w:pPr>
    <w:rPr>
      <w:rFonts w:hint="default" w:ascii="Arial" w:hAnsi="Arial" w:eastAsia="Arial" w:cs="Arial"/>
      <w:b/>
      <w:sz w:val="20"/>
    </w:rPr>
  </w:style>
  <w:style w:type="paragraph" w:styleId="758">
    <w:name w:val="Таблица 1. Число"/>
    <w:basedOn w:val="757"/>
    <w:uiPriority w:val="1"/>
    <w:qFormat/>
    <w:pPr>
      <w:jc w:val="right"/>
    </w:pPr>
    <w:rPr/>
  </w:style>
  <w:style w:type="paragraph" w:styleId="759">
    <w:name w:val="Таблица 1. Строка"/>
    <w:basedOn w:val="757"/>
    <w:uiPriority w:val="1"/>
    <w:qFormat/>
    <w:pPr>
      <w:jc w:val="left"/>
    </w:pPr>
    <w:r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2024-10-10T06:35:10Z</dcterms:modified>
</cp:coreProperties>
</file>